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3DF5B" w14:textId="3523536C" w:rsidR="00342E37" w:rsidRPr="00E0515D" w:rsidRDefault="00342E37" w:rsidP="0002296E">
      <w:pPr>
        <w:tabs>
          <w:tab w:val="right" w:pos="9360"/>
        </w:tabs>
        <w:jc w:val="both"/>
        <w:rPr>
          <w:rFonts w:cs="Arial"/>
          <w:szCs w:val="24"/>
        </w:rPr>
      </w:pPr>
      <w:r w:rsidRPr="00E0515D">
        <w:rPr>
          <w:rFonts w:cs="Arial"/>
          <w:szCs w:val="24"/>
        </w:rPr>
        <w:t>Office of Su</w:t>
      </w:r>
      <w:r w:rsidR="00E100EC" w:rsidRPr="00E0515D">
        <w:rPr>
          <w:rFonts w:cs="Arial"/>
          <w:szCs w:val="24"/>
        </w:rPr>
        <w:t>perintendent of Schools</w:t>
      </w:r>
      <w:r w:rsidR="00E100EC" w:rsidRPr="00E0515D">
        <w:rPr>
          <w:rFonts w:cs="Arial"/>
          <w:szCs w:val="24"/>
        </w:rPr>
        <w:tab/>
      </w:r>
      <w:r w:rsidR="005B6FCA">
        <w:rPr>
          <w:rFonts w:cs="Arial"/>
        </w:rPr>
        <w:t>August 2</w:t>
      </w:r>
      <w:r w:rsidR="00313F4D">
        <w:rPr>
          <w:rFonts w:cs="Arial"/>
        </w:rPr>
        <w:t>8</w:t>
      </w:r>
      <w:r w:rsidR="00883E31" w:rsidRPr="00B36FEF">
        <w:rPr>
          <w:rFonts w:cs="Arial"/>
        </w:rPr>
        <w:t>, 202</w:t>
      </w:r>
      <w:r w:rsidR="00FB08AE">
        <w:rPr>
          <w:rFonts w:cs="Arial"/>
        </w:rPr>
        <w:t>5</w:t>
      </w:r>
    </w:p>
    <w:p w14:paraId="75EC8105" w14:textId="3537DBFB" w:rsidR="00342E37" w:rsidRPr="00E0515D" w:rsidRDefault="00E100EC" w:rsidP="0002296E">
      <w:pPr>
        <w:jc w:val="both"/>
        <w:rPr>
          <w:rFonts w:cs="Arial"/>
          <w:szCs w:val="24"/>
        </w:rPr>
      </w:pPr>
      <w:r w:rsidRPr="00E0515D">
        <w:rPr>
          <w:rFonts w:cs="Arial"/>
          <w:szCs w:val="24"/>
        </w:rPr>
        <w:t xml:space="preserve">Board Meeting of </w:t>
      </w:r>
      <w:r w:rsidR="005B6FCA">
        <w:rPr>
          <w:rFonts w:cs="Arial"/>
        </w:rPr>
        <w:t>September</w:t>
      </w:r>
      <w:r w:rsidR="007F1534">
        <w:rPr>
          <w:rFonts w:cs="Arial"/>
        </w:rPr>
        <w:t xml:space="preserve"> 1</w:t>
      </w:r>
      <w:r w:rsidR="00FB08AE">
        <w:rPr>
          <w:rFonts w:cs="Arial"/>
        </w:rPr>
        <w:t>0</w:t>
      </w:r>
      <w:r w:rsidR="00883E31" w:rsidRPr="00B36FEF">
        <w:rPr>
          <w:rFonts w:cs="Arial"/>
        </w:rPr>
        <w:t>, 202</w:t>
      </w:r>
      <w:r w:rsidR="00FB08AE">
        <w:rPr>
          <w:rFonts w:cs="Arial"/>
        </w:rPr>
        <w:t>5</w:t>
      </w:r>
    </w:p>
    <w:p w14:paraId="0D1E8A4A" w14:textId="77777777" w:rsidR="00342E37" w:rsidRPr="00E0515D" w:rsidRDefault="00342E37" w:rsidP="0002296E">
      <w:pPr>
        <w:jc w:val="both"/>
        <w:rPr>
          <w:rFonts w:cs="Arial"/>
          <w:szCs w:val="24"/>
        </w:rPr>
      </w:pPr>
    </w:p>
    <w:p w14:paraId="67ABFAE4" w14:textId="77777777" w:rsidR="00342E37" w:rsidRPr="00E0515D" w:rsidRDefault="00070690" w:rsidP="0002296E">
      <w:pPr>
        <w:tabs>
          <w:tab w:val="left" w:pos="7920"/>
        </w:tabs>
        <w:jc w:val="both"/>
        <w:rPr>
          <w:rFonts w:cs="Arial"/>
          <w:szCs w:val="24"/>
        </w:rPr>
      </w:pPr>
      <w:r w:rsidRPr="00E0515D">
        <w:rPr>
          <w:rFonts w:cs="Arial"/>
          <w:szCs w:val="24"/>
        </w:rPr>
        <w:t>Financial Services</w:t>
      </w:r>
    </w:p>
    <w:p w14:paraId="4BC4FE01" w14:textId="77777777" w:rsidR="00342E37" w:rsidRPr="00E0515D" w:rsidRDefault="002E3B8D" w:rsidP="0002296E">
      <w:pPr>
        <w:tabs>
          <w:tab w:val="left" w:pos="7920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>Mr. Ron Steiger</w:t>
      </w:r>
      <w:r w:rsidR="00342E37" w:rsidRPr="00E0515D">
        <w:rPr>
          <w:rFonts w:cs="Arial"/>
          <w:szCs w:val="24"/>
        </w:rPr>
        <w:t xml:space="preserve">, </w:t>
      </w:r>
      <w:r w:rsidR="00E6625D" w:rsidRPr="00E0515D">
        <w:rPr>
          <w:rFonts w:cs="Arial"/>
          <w:szCs w:val="24"/>
        </w:rPr>
        <w:t>Chief Financial Officer</w:t>
      </w:r>
    </w:p>
    <w:p w14:paraId="5F514BE5" w14:textId="77777777" w:rsidR="00342E37" w:rsidRPr="00E0515D" w:rsidRDefault="00342E37" w:rsidP="0002296E">
      <w:pPr>
        <w:jc w:val="both"/>
        <w:rPr>
          <w:rFonts w:cs="Arial"/>
          <w:szCs w:val="24"/>
        </w:rPr>
      </w:pPr>
    </w:p>
    <w:p w14:paraId="4CD980BC" w14:textId="256C3B64" w:rsidR="00342E37" w:rsidRPr="00E0515D" w:rsidRDefault="00342E37" w:rsidP="009248C7">
      <w:pPr>
        <w:pStyle w:val="BodyTextIndent"/>
        <w:ind w:left="2520" w:hanging="2520"/>
        <w:jc w:val="both"/>
        <w:rPr>
          <w:rFonts w:cs="Arial"/>
          <w:szCs w:val="24"/>
        </w:rPr>
      </w:pPr>
      <w:r w:rsidRPr="00E0515D">
        <w:rPr>
          <w:rFonts w:cs="Arial"/>
          <w:szCs w:val="24"/>
        </w:rPr>
        <w:t>SUBJECT:</w:t>
      </w:r>
      <w:r w:rsidRPr="00E0515D">
        <w:rPr>
          <w:rFonts w:cs="Arial"/>
          <w:szCs w:val="24"/>
        </w:rPr>
        <w:tab/>
      </w:r>
      <w:r w:rsidR="00E100EC" w:rsidRPr="00E0515D">
        <w:rPr>
          <w:rFonts w:cs="Arial"/>
          <w:szCs w:val="24"/>
        </w:rPr>
        <w:t>RESOLUTION N</w:t>
      </w:r>
      <w:r w:rsidR="00883E31">
        <w:rPr>
          <w:rFonts w:cs="Arial"/>
          <w:szCs w:val="24"/>
        </w:rPr>
        <w:t>O</w:t>
      </w:r>
      <w:r w:rsidR="00E100EC" w:rsidRPr="00E0515D">
        <w:rPr>
          <w:rFonts w:cs="Arial"/>
          <w:szCs w:val="24"/>
        </w:rPr>
        <w:t xml:space="preserve">. </w:t>
      </w:r>
      <w:r w:rsidR="00FB08AE">
        <w:rPr>
          <w:rFonts w:cs="Arial"/>
          <w:szCs w:val="24"/>
        </w:rPr>
        <w:t>1</w:t>
      </w:r>
      <w:r w:rsidR="00E100EC" w:rsidRPr="00E0515D">
        <w:rPr>
          <w:rFonts w:cs="Arial"/>
          <w:szCs w:val="24"/>
        </w:rPr>
        <w:t xml:space="preserve">, </w:t>
      </w:r>
      <w:r w:rsidR="00BF7FBF">
        <w:rPr>
          <w:rFonts w:cs="Arial"/>
          <w:szCs w:val="24"/>
        </w:rPr>
        <w:t xml:space="preserve">FY </w:t>
      </w:r>
      <w:r w:rsidR="00E100EC" w:rsidRPr="00E0515D">
        <w:rPr>
          <w:rFonts w:cs="Arial"/>
          <w:szCs w:val="24"/>
        </w:rPr>
        <w:t>20</w:t>
      </w:r>
      <w:r w:rsidR="00D11D52">
        <w:rPr>
          <w:rFonts w:cs="Arial"/>
          <w:szCs w:val="24"/>
        </w:rPr>
        <w:t>2</w:t>
      </w:r>
      <w:r w:rsidR="00FB08AE">
        <w:rPr>
          <w:rFonts w:cs="Arial"/>
          <w:szCs w:val="24"/>
        </w:rPr>
        <w:t>4</w:t>
      </w:r>
      <w:r w:rsidR="00E100EC" w:rsidRPr="00E0515D">
        <w:rPr>
          <w:rFonts w:cs="Arial"/>
          <w:szCs w:val="24"/>
        </w:rPr>
        <w:t>-</w:t>
      </w:r>
      <w:r w:rsidR="00D11D52">
        <w:rPr>
          <w:rFonts w:cs="Arial"/>
          <w:szCs w:val="24"/>
        </w:rPr>
        <w:t>2</w:t>
      </w:r>
      <w:r w:rsidR="00FB08AE">
        <w:rPr>
          <w:rFonts w:cs="Arial"/>
          <w:szCs w:val="24"/>
        </w:rPr>
        <w:t>5</w:t>
      </w:r>
      <w:r w:rsidR="009F5234" w:rsidRPr="00E0515D">
        <w:rPr>
          <w:rFonts w:cs="Arial"/>
          <w:szCs w:val="24"/>
        </w:rPr>
        <w:t xml:space="preserve"> SPECIAL REVENUE FUNDS</w:t>
      </w:r>
      <w:r w:rsidR="005D334D">
        <w:rPr>
          <w:rFonts w:cs="Arial"/>
          <w:szCs w:val="24"/>
        </w:rPr>
        <w:t>-</w:t>
      </w:r>
      <w:r w:rsidR="009F5234" w:rsidRPr="00E0515D">
        <w:rPr>
          <w:rFonts w:cs="Arial"/>
          <w:szCs w:val="24"/>
        </w:rPr>
        <w:t xml:space="preserve"> </w:t>
      </w:r>
      <w:r w:rsidR="00563865">
        <w:t xml:space="preserve">OTHER </w:t>
      </w:r>
      <w:r w:rsidR="00BF7FBF">
        <w:t>AMERICAN RESCUE PLAN (</w:t>
      </w:r>
      <w:r w:rsidR="00563865">
        <w:t>ARP</w:t>
      </w:r>
      <w:r w:rsidR="00BF7FBF">
        <w:t>)</w:t>
      </w:r>
      <w:r w:rsidR="008B1EDB">
        <w:t xml:space="preserve"> ACT RELIEF</w:t>
      </w:r>
      <w:r w:rsidR="00563865">
        <w:t xml:space="preserve"> FUND</w:t>
      </w:r>
      <w:r w:rsidR="009938A3">
        <w:t xml:space="preserve"> </w:t>
      </w:r>
      <w:r w:rsidR="008B1EDB">
        <w:rPr>
          <w:rFonts w:cs="Arial"/>
          <w:szCs w:val="24"/>
        </w:rPr>
        <w:t>FINAL</w:t>
      </w:r>
      <w:r w:rsidR="00E100EC" w:rsidRPr="00E0515D">
        <w:rPr>
          <w:rFonts w:cs="Arial"/>
          <w:szCs w:val="24"/>
        </w:rPr>
        <w:t xml:space="preserve"> BUDGET REVIEW</w:t>
      </w:r>
    </w:p>
    <w:p w14:paraId="4F2C7F64" w14:textId="77777777" w:rsidR="00342E37" w:rsidRPr="00E0515D" w:rsidRDefault="00342E37" w:rsidP="009248C7">
      <w:pPr>
        <w:ind w:left="2520" w:hanging="2520"/>
        <w:jc w:val="both"/>
        <w:rPr>
          <w:rFonts w:cs="Arial"/>
          <w:szCs w:val="24"/>
        </w:rPr>
      </w:pPr>
    </w:p>
    <w:p w14:paraId="79200A06" w14:textId="77777777" w:rsidR="00342E37" w:rsidRPr="009248C7" w:rsidRDefault="00342E37" w:rsidP="009248C7">
      <w:pPr>
        <w:pStyle w:val="Heading1"/>
        <w:ind w:left="2520" w:hanging="2520"/>
      </w:pPr>
      <w:r w:rsidRPr="00E0515D">
        <w:rPr>
          <w:rFonts w:cs="Arial"/>
          <w:szCs w:val="24"/>
        </w:rPr>
        <w:t>COMMITTEE:</w:t>
      </w:r>
      <w:r w:rsidR="00BE183B" w:rsidRPr="00E0515D">
        <w:rPr>
          <w:rFonts w:cs="Arial"/>
          <w:szCs w:val="24"/>
        </w:rPr>
        <w:tab/>
      </w:r>
      <w:r w:rsidR="009A28FE" w:rsidRPr="00E0515D">
        <w:rPr>
          <w:rFonts w:cs="Arial"/>
          <w:szCs w:val="24"/>
        </w:rPr>
        <w:tab/>
      </w:r>
      <w:r w:rsidR="009248C7" w:rsidRPr="0033412B">
        <w:t>FISCAL</w:t>
      </w:r>
      <w:r w:rsidR="009248C7">
        <w:rPr>
          <w:rFonts w:cs="Arial"/>
          <w:szCs w:val="24"/>
        </w:rPr>
        <w:t xml:space="preserve"> ACCOUNTABILITY &amp; GOVERNMENT RELATIONS</w:t>
      </w:r>
    </w:p>
    <w:p w14:paraId="5D2D7B31" w14:textId="77777777" w:rsidR="009A28FE" w:rsidRPr="00E0515D" w:rsidRDefault="009A28FE" w:rsidP="009248C7">
      <w:pPr>
        <w:ind w:left="2520" w:hanging="2520"/>
        <w:jc w:val="both"/>
        <w:rPr>
          <w:rFonts w:cs="Arial"/>
          <w:szCs w:val="24"/>
        </w:rPr>
      </w:pPr>
    </w:p>
    <w:p w14:paraId="34DC001C" w14:textId="77777777" w:rsidR="009248C7" w:rsidRPr="008E5C31" w:rsidRDefault="009248C7" w:rsidP="009248C7">
      <w:pPr>
        <w:pStyle w:val="BodyTextIndent2"/>
        <w:tabs>
          <w:tab w:val="left" w:pos="2520"/>
          <w:tab w:val="left" w:pos="2700"/>
        </w:tabs>
        <w:spacing w:after="0" w:line="240" w:lineRule="auto"/>
        <w:ind w:left="2520" w:hanging="2520"/>
        <w:rPr>
          <w:b/>
        </w:rPr>
      </w:pPr>
      <w:r w:rsidRPr="008E5C31">
        <w:rPr>
          <w:b/>
        </w:rPr>
        <w:t>LINK TO STRATEGIC</w:t>
      </w:r>
    </w:p>
    <w:p w14:paraId="76FD0EEE" w14:textId="7F094DA7" w:rsidR="009248C7" w:rsidRPr="008E5C31" w:rsidRDefault="00883E31" w:rsidP="00BF7FBF">
      <w:pPr>
        <w:pStyle w:val="BodyTextIndent2"/>
        <w:tabs>
          <w:tab w:val="left" w:pos="2520"/>
        </w:tabs>
        <w:spacing w:after="0" w:line="240" w:lineRule="auto"/>
        <w:ind w:left="2520" w:hanging="2520"/>
        <w:jc w:val="both"/>
        <w:rPr>
          <w:b/>
        </w:rPr>
      </w:pPr>
      <w:r>
        <w:rPr>
          <w:b/>
        </w:rPr>
        <w:t>PLAN</w:t>
      </w:r>
      <w:r w:rsidR="009248C7" w:rsidRPr="008E5C31">
        <w:rPr>
          <w:b/>
        </w:rPr>
        <w:t xml:space="preserve">: </w:t>
      </w:r>
      <w:r w:rsidR="009248C7" w:rsidRPr="008E5C31">
        <w:rPr>
          <w:b/>
        </w:rPr>
        <w:tab/>
        <w:t xml:space="preserve">EFFECTIVE AND SUSTAINABLE </w:t>
      </w:r>
      <w:r>
        <w:rPr>
          <w:b/>
        </w:rPr>
        <w:t>OPERATIONAL</w:t>
      </w:r>
      <w:r w:rsidR="009248C7" w:rsidRPr="008E5C31">
        <w:rPr>
          <w:b/>
        </w:rPr>
        <w:t xml:space="preserve"> PRACTICES</w:t>
      </w:r>
    </w:p>
    <w:p w14:paraId="6532BBB7" w14:textId="77777777" w:rsidR="00342E37" w:rsidRPr="00E0515D" w:rsidRDefault="00342E37" w:rsidP="0002296E">
      <w:pPr>
        <w:tabs>
          <w:tab w:val="left" w:pos="1710"/>
        </w:tabs>
        <w:jc w:val="both"/>
        <w:rPr>
          <w:rFonts w:cs="Arial"/>
          <w:b/>
          <w:bCs/>
          <w:szCs w:val="24"/>
        </w:rPr>
      </w:pPr>
    </w:p>
    <w:p w14:paraId="4EA040CB" w14:textId="5FC04ADE" w:rsidR="007978CB" w:rsidRPr="00083C2E" w:rsidRDefault="009938A3" w:rsidP="007978CB">
      <w:pPr>
        <w:jc w:val="both"/>
        <w:rPr>
          <w:rFonts w:cs="Arial"/>
          <w:b/>
          <w:highlight w:val="yellow"/>
        </w:rPr>
      </w:pPr>
      <w:r>
        <w:rPr>
          <w:rFonts w:cs="Arial"/>
          <w:szCs w:val="24"/>
        </w:rPr>
        <w:t xml:space="preserve">Special Revenue Funds include the </w:t>
      </w:r>
      <w:r w:rsidR="00563865">
        <w:rPr>
          <w:rFonts w:cs="Arial"/>
          <w:szCs w:val="24"/>
        </w:rPr>
        <w:t>Other American Rescue Plan (ARP)</w:t>
      </w:r>
      <w:r>
        <w:rPr>
          <w:rFonts w:cs="Arial"/>
          <w:szCs w:val="24"/>
        </w:rPr>
        <w:t xml:space="preserve"> </w:t>
      </w:r>
      <w:r w:rsidR="008B1EDB">
        <w:rPr>
          <w:rFonts w:cs="Arial"/>
          <w:szCs w:val="24"/>
        </w:rPr>
        <w:t xml:space="preserve">Act Relief </w:t>
      </w:r>
      <w:r>
        <w:rPr>
          <w:rFonts w:cs="Arial"/>
          <w:szCs w:val="24"/>
        </w:rPr>
        <w:t>Fund.</w:t>
      </w:r>
      <w:r w:rsidR="00DC3931">
        <w:rPr>
          <w:rFonts w:cs="Arial"/>
          <w:szCs w:val="24"/>
        </w:rPr>
        <w:t xml:space="preserve"> </w:t>
      </w:r>
      <w:r w:rsidR="007978CB">
        <w:rPr>
          <w:rFonts w:cs="Arial"/>
          <w:szCs w:val="24"/>
        </w:rPr>
        <w:t>The changes reported in this</w:t>
      </w:r>
      <w:r w:rsidR="007978CB" w:rsidRPr="002E77AC">
        <w:rPr>
          <w:rFonts w:cs="Arial"/>
        </w:rPr>
        <w:t xml:space="preserve"> resolution</w:t>
      </w:r>
      <w:r w:rsidR="007978CB">
        <w:rPr>
          <w:rFonts w:cs="Arial"/>
        </w:rPr>
        <w:t xml:space="preserve"> reflect changes made in the allocation of funds as of June 30, 202</w:t>
      </w:r>
      <w:r w:rsidR="00FB08AE">
        <w:rPr>
          <w:rFonts w:cs="Arial"/>
        </w:rPr>
        <w:t>5</w:t>
      </w:r>
      <w:r w:rsidR="007978CB">
        <w:rPr>
          <w:rFonts w:cs="Arial"/>
        </w:rPr>
        <w:t xml:space="preserve"> to ensure that the amounts awarded are used in the most efficient manner and within the allotted timeframe. </w:t>
      </w:r>
    </w:p>
    <w:p w14:paraId="74E2861B" w14:textId="77777777" w:rsidR="007978CB" w:rsidRDefault="007978CB" w:rsidP="007978CB">
      <w:pPr>
        <w:jc w:val="both"/>
        <w:rPr>
          <w:rFonts w:cs="Arial"/>
          <w:szCs w:val="24"/>
        </w:rPr>
      </w:pPr>
    </w:p>
    <w:p w14:paraId="0D2E7646" w14:textId="4A7C1067" w:rsidR="00F55929" w:rsidRDefault="00F55929">
      <w:pPr>
        <w:tabs>
          <w:tab w:val="left" w:pos="1710"/>
        </w:tabs>
        <w:jc w:val="both"/>
        <w:rPr>
          <w:rFonts w:cs="Arial"/>
          <w:szCs w:val="24"/>
        </w:rPr>
      </w:pPr>
    </w:p>
    <w:p w14:paraId="148E295F" w14:textId="2CD5CED8" w:rsidR="00F55929" w:rsidRDefault="00F55929">
      <w:pPr>
        <w:tabs>
          <w:tab w:val="left" w:pos="1710"/>
        </w:tabs>
        <w:jc w:val="both"/>
        <w:rPr>
          <w:rFonts w:cs="Arial"/>
          <w:szCs w:val="24"/>
        </w:rPr>
      </w:pPr>
    </w:p>
    <w:p w14:paraId="216D0A30" w14:textId="77777777" w:rsidR="00F55929" w:rsidRPr="00E0515D" w:rsidRDefault="00F55929">
      <w:pPr>
        <w:tabs>
          <w:tab w:val="left" w:pos="1710"/>
        </w:tabs>
        <w:jc w:val="both"/>
        <w:rPr>
          <w:rFonts w:cs="Arial"/>
          <w:szCs w:val="24"/>
        </w:rPr>
      </w:pPr>
    </w:p>
    <w:p w14:paraId="79BBCD9A" w14:textId="77777777" w:rsidR="00342E37" w:rsidRDefault="00342E37">
      <w:pPr>
        <w:tabs>
          <w:tab w:val="left" w:pos="1710"/>
        </w:tabs>
        <w:jc w:val="both"/>
      </w:pPr>
    </w:p>
    <w:p w14:paraId="71084700" w14:textId="77777777" w:rsidR="00063EE7" w:rsidRDefault="00063EE7">
      <w:pPr>
        <w:tabs>
          <w:tab w:val="left" w:pos="1710"/>
        </w:tabs>
        <w:jc w:val="both"/>
      </w:pPr>
    </w:p>
    <w:p w14:paraId="310BE366" w14:textId="77777777" w:rsidR="00063EE7" w:rsidRDefault="00063EE7">
      <w:pPr>
        <w:tabs>
          <w:tab w:val="left" w:pos="1710"/>
        </w:tabs>
        <w:jc w:val="both"/>
      </w:pPr>
    </w:p>
    <w:p w14:paraId="45297157" w14:textId="77777777" w:rsidR="00063EE7" w:rsidRDefault="00063EE7">
      <w:pPr>
        <w:tabs>
          <w:tab w:val="left" w:pos="1710"/>
        </w:tabs>
        <w:jc w:val="both"/>
      </w:pPr>
    </w:p>
    <w:p w14:paraId="1ED55BEB" w14:textId="77777777" w:rsidR="00F55929" w:rsidRDefault="00F55929">
      <w:pPr>
        <w:tabs>
          <w:tab w:val="left" w:pos="1710"/>
        </w:tabs>
        <w:jc w:val="both"/>
      </w:pPr>
    </w:p>
    <w:p w14:paraId="45ED5C74" w14:textId="77777777" w:rsidR="007F69E6" w:rsidRPr="00C04DCE" w:rsidRDefault="007F69E6" w:rsidP="007F69E6">
      <w:pPr>
        <w:jc w:val="both"/>
        <w:rPr>
          <w:rFonts w:cs="Arial"/>
          <w:b/>
          <w:highlight w:val="yellow"/>
        </w:rPr>
      </w:pPr>
    </w:p>
    <w:p w14:paraId="238240F1" w14:textId="77777777" w:rsidR="008B1EDB" w:rsidRDefault="008B1EDB" w:rsidP="007F69E6">
      <w:pPr>
        <w:tabs>
          <w:tab w:val="left" w:pos="-1440"/>
        </w:tabs>
        <w:ind w:left="2160" w:hanging="2160"/>
        <w:jc w:val="both"/>
        <w:rPr>
          <w:rFonts w:cs="Arial"/>
          <w:b/>
        </w:rPr>
      </w:pPr>
    </w:p>
    <w:p w14:paraId="3A2DFC78" w14:textId="77777777" w:rsidR="008B1EDB" w:rsidRDefault="008B1EDB" w:rsidP="007F69E6">
      <w:pPr>
        <w:tabs>
          <w:tab w:val="left" w:pos="-1440"/>
        </w:tabs>
        <w:ind w:left="2160" w:hanging="2160"/>
        <w:jc w:val="both"/>
        <w:rPr>
          <w:rFonts w:cs="Arial"/>
          <w:b/>
        </w:rPr>
      </w:pPr>
    </w:p>
    <w:p w14:paraId="3E00B2EB" w14:textId="2CE722C7" w:rsidR="007F69E6" w:rsidRPr="00F810FD" w:rsidRDefault="007F69E6" w:rsidP="007F69E6">
      <w:pPr>
        <w:tabs>
          <w:tab w:val="left" w:pos="-1440"/>
        </w:tabs>
        <w:ind w:left="2160" w:hanging="2160"/>
        <w:jc w:val="both"/>
        <w:rPr>
          <w:rFonts w:cs="Arial"/>
        </w:rPr>
      </w:pPr>
      <w:proofErr w:type="gramStart"/>
      <w:r w:rsidRPr="00F810FD">
        <w:rPr>
          <w:rFonts w:cs="Arial"/>
          <w:b/>
        </w:rPr>
        <w:t>RECOMMENDED:</w:t>
      </w:r>
      <w:r w:rsidRPr="00F810FD">
        <w:rPr>
          <w:rFonts w:cs="Arial"/>
          <w:b/>
        </w:rPr>
        <w:tab/>
      </w:r>
      <w:r w:rsidRPr="00F810FD">
        <w:rPr>
          <w:rFonts w:cs="Arial"/>
        </w:rPr>
        <w:t>That</w:t>
      </w:r>
      <w:proofErr w:type="gramEnd"/>
      <w:r w:rsidRPr="00F810FD">
        <w:rPr>
          <w:rFonts w:cs="Arial"/>
        </w:rPr>
        <w:t xml:space="preserve"> The School Board of </w:t>
      </w:r>
      <w:smartTag w:uri="urn:schemas-microsoft-com:office:smarttags" w:element="place">
        <w:smartTag w:uri="urn:schemas-microsoft-com:office:smarttags" w:element="City">
          <w:r w:rsidRPr="00F810FD">
            <w:rPr>
              <w:rFonts w:cs="Arial"/>
            </w:rPr>
            <w:t>Miami-Dade County</w:t>
          </w:r>
        </w:smartTag>
        <w:r w:rsidRPr="00F810FD">
          <w:rPr>
            <w:rFonts w:cs="Arial"/>
          </w:rPr>
          <w:t xml:space="preserve">, </w:t>
        </w:r>
        <w:smartTag w:uri="urn:schemas-microsoft-com:office:smarttags" w:element="State">
          <w:r w:rsidRPr="00F810FD">
            <w:rPr>
              <w:rFonts w:cs="Arial"/>
            </w:rPr>
            <w:t>Florida</w:t>
          </w:r>
        </w:smartTag>
      </w:smartTag>
      <w:r w:rsidRPr="00F810FD">
        <w:rPr>
          <w:rFonts w:cs="Arial"/>
        </w:rPr>
        <w:t>:</w:t>
      </w:r>
    </w:p>
    <w:p w14:paraId="3BDCC6F9" w14:textId="77777777" w:rsidR="007F69E6" w:rsidRPr="00F810FD" w:rsidRDefault="007F69E6" w:rsidP="007F69E6">
      <w:pPr>
        <w:jc w:val="both"/>
        <w:rPr>
          <w:rFonts w:cs="Arial"/>
        </w:rPr>
      </w:pPr>
    </w:p>
    <w:p w14:paraId="1F5707A4" w14:textId="782809D4" w:rsidR="007978CB" w:rsidRPr="00F810FD" w:rsidRDefault="007F69E6" w:rsidP="007978CB">
      <w:pPr>
        <w:pStyle w:val="Level1"/>
        <w:numPr>
          <w:ilvl w:val="0"/>
          <w:numId w:val="2"/>
        </w:numPr>
        <w:tabs>
          <w:tab w:val="left" w:pos="-1440"/>
        </w:tabs>
        <w:jc w:val="both"/>
        <w:rPr>
          <w:rFonts w:ascii="Arial" w:hAnsi="Arial" w:cs="Arial"/>
        </w:rPr>
      </w:pPr>
      <w:r w:rsidRPr="00F810FD">
        <w:rPr>
          <w:rFonts w:ascii="Arial" w:hAnsi="Arial" w:cs="Arial"/>
        </w:rPr>
        <w:t xml:space="preserve">adopt Resolution No. </w:t>
      </w:r>
      <w:r w:rsidR="00FB08AE">
        <w:rPr>
          <w:rFonts w:ascii="Arial" w:hAnsi="Arial" w:cs="Arial"/>
        </w:rPr>
        <w:t>1</w:t>
      </w:r>
      <w:r w:rsidRPr="00F810FD">
        <w:rPr>
          <w:rFonts w:ascii="Arial" w:hAnsi="Arial" w:cs="Arial"/>
        </w:rPr>
        <w:t>, FY</w:t>
      </w:r>
      <w:r>
        <w:rPr>
          <w:rFonts w:ascii="Arial" w:hAnsi="Arial" w:cs="Arial"/>
        </w:rPr>
        <w:t xml:space="preserve"> 20</w:t>
      </w:r>
      <w:r w:rsidR="004F1501">
        <w:rPr>
          <w:rFonts w:ascii="Arial" w:hAnsi="Arial" w:cs="Arial"/>
        </w:rPr>
        <w:t>2</w:t>
      </w:r>
      <w:r w:rsidR="00FB08AE">
        <w:rPr>
          <w:rFonts w:ascii="Arial" w:hAnsi="Arial" w:cs="Arial"/>
        </w:rPr>
        <w:t>4</w:t>
      </w:r>
      <w:r>
        <w:rPr>
          <w:rFonts w:ascii="Arial" w:hAnsi="Arial" w:cs="Arial"/>
        </w:rPr>
        <w:t>-</w:t>
      </w:r>
      <w:r w:rsidR="004F1501">
        <w:rPr>
          <w:rFonts w:ascii="Arial" w:hAnsi="Arial" w:cs="Arial"/>
        </w:rPr>
        <w:t>2</w:t>
      </w:r>
      <w:r w:rsidR="00FB08AE">
        <w:rPr>
          <w:rFonts w:ascii="Arial" w:hAnsi="Arial" w:cs="Arial"/>
        </w:rPr>
        <w:t>5</w:t>
      </w:r>
      <w:r w:rsidRPr="00F810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Special Revenue Funds – </w:t>
      </w:r>
      <w:r w:rsidR="00563865">
        <w:rPr>
          <w:rFonts w:ascii="Arial" w:hAnsi="Arial" w:cs="Arial"/>
          <w:szCs w:val="24"/>
        </w:rPr>
        <w:t>Other ARP</w:t>
      </w:r>
      <w:r w:rsidR="000E3012" w:rsidRPr="000E3012">
        <w:rPr>
          <w:rFonts w:ascii="Arial" w:hAnsi="Arial" w:cs="Arial"/>
          <w:szCs w:val="24"/>
        </w:rPr>
        <w:t xml:space="preserve"> </w:t>
      </w:r>
      <w:r w:rsidR="008B1EDB">
        <w:rPr>
          <w:rFonts w:ascii="Arial" w:hAnsi="Arial" w:cs="Arial"/>
          <w:szCs w:val="24"/>
        </w:rPr>
        <w:t xml:space="preserve">Act Relief </w:t>
      </w:r>
      <w:r w:rsidR="000E3012" w:rsidRPr="000E3012">
        <w:rPr>
          <w:rFonts w:ascii="Arial" w:hAnsi="Arial" w:cs="Arial"/>
          <w:szCs w:val="24"/>
        </w:rPr>
        <w:t>Fund</w:t>
      </w:r>
      <w:r>
        <w:rPr>
          <w:rFonts w:ascii="Arial" w:hAnsi="Arial" w:cs="Arial"/>
        </w:rPr>
        <w:t xml:space="preserve"> </w:t>
      </w:r>
      <w:r w:rsidR="005B6FCA">
        <w:rPr>
          <w:rFonts w:ascii="Arial" w:hAnsi="Arial" w:cs="Arial"/>
        </w:rPr>
        <w:t>Final</w:t>
      </w:r>
      <w:r>
        <w:rPr>
          <w:rFonts w:ascii="Arial" w:hAnsi="Arial" w:cs="Arial"/>
        </w:rPr>
        <w:t xml:space="preserve"> </w:t>
      </w:r>
      <w:r w:rsidRPr="00F810FD">
        <w:rPr>
          <w:rFonts w:ascii="Arial" w:hAnsi="Arial" w:cs="Arial"/>
        </w:rPr>
        <w:t xml:space="preserve">Budget Review, </w:t>
      </w:r>
      <w:r w:rsidR="007101E7">
        <w:rPr>
          <w:rFonts w:ascii="Arial" w:hAnsi="Arial" w:cs="Arial"/>
        </w:rPr>
        <w:t>updating the budgeted appropriations</w:t>
      </w:r>
      <w:r w:rsidR="007978CB">
        <w:rPr>
          <w:rFonts w:ascii="Arial" w:hAnsi="Arial" w:cs="Arial"/>
        </w:rPr>
        <w:t xml:space="preserve">; </w:t>
      </w:r>
      <w:r w:rsidR="007978CB" w:rsidRPr="00F810FD">
        <w:rPr>
          <w:rFonts w:ascii="Arial" w:hAnsi="Arial" w:cs="Arial"/>
        </w:rPr>
        <w:t>and</w:t>
      </w:r>
    </w:p>
    <w:p w14:paraId="28D3591C" w14:textId="77777777" w:rsidR="007F69E6" w:rsidRPr="00F810FD" w:rsidRDefault="007F69E6" w:rsidP="007F69E6">
      <w:pPr>
        <w:jc w:val="both"/>
        <w:rPr>
          <w:rFonts w:cs="Arial"/>
        </w:rPr>
      </w:pPr>
    </w:p>
    <w:p w14:paraId="4F0E437D" w14:textId="177A100E" w:rsidR="007F69E6" w:rsidRDefault="007F69E6" w:rsidP="007F69E6">
      <w:pPr>
        <w:pStyle w:val="Level1"/>
        <w:numPr>
          <w:ilvl w:val="0"/>
          <w:numId w:val="2"/>
        </w:numPr>
        <w:tabs>
          <w:tab w:val="left" w:pos="-1440"/>
        </w:tabs>
        <w:jc w:val="both"/>
        <w:rPr>
          <w:rFonts w:ascii="Arial" w:hAnsi="Arial" w:cs="Arial"/>
        </w:rPr>
      </w:pPr>
      <w:r w:rsidRPr="005603DF">
        <w:rPr>
          <w:rFonts w:ascii="Arial" w:hAnsi="Arial" w:cs="Arial"/>
        </w:rPr>
        <w:t xml:space="preserve">adopt the Summary of Revenues and Appropriations (page 2) and the Summary of Appropriations by Function (page </w:t>
      </w:r>
      <w:r w:rsidR="007978CB">
        <w:rPr>
          <w:rFonts w:ascii="Arial" w:hAnsi="Arial" w:cs="Arial"/>
        </w:rPr>
        <w:t>3</w:t>
      </w:r>
      <w:r w:rsidRPr="005603DF">
        <w:rPr>
          <w:rFonts w:ascii="Arial" w:hAnsi="Arial" w:cs="Arial"/>
        </w:rPr>
        <w:t>).</w:t>
      </w:r>
    </w:p>
    <w:p w14:paraId="0CD0DB1D" w14:textId="1C8AE709" w:rsidR="00CC024C" w:rsidRDefault="00CC024C" w:rsidP="00C230D7">
      <w:pPr>
        <w:tabs>
          <w:tab w:val="left" w:pos="1710"/>
        </w:tabs>
        <w:jc w:val="both"/>
      </w:pPr>
    </w:p>
    <w:p w14:paraId="421E81AD" w14:textId="077E2F4B" w:rsidR="007F6CF8" w:rsidRDefault="007F6CF8" w:rsidP="00C230D7">
      <w:pPr>
        <w:tabs>
          <w:tab w:val="left" w:pos="1710"/>
        </w:tabs>
        <w:jc w:val="both"/>
      </w:pPr>
    </w:p>
    <w:p w14:paraId="67FF668A" w14:textId="2E9CC155" w:rsidR="007F6CF8" w:rsidRDefault="007F6CF8" w:rsidP="00C230D7">
      <w:pPr>
        <w:tabs>
          <w:tab w:val="left" w:pos="1710"/>
        </w:tabs>
        <w:jc w:val="both"/>
      </w:pPr>
    </w:p>
    <w:p w14:paraId="0271DE01" w14:textId="3E6E9904" w:rsidR="004A3F64" w:rsidRDefault="004A3F64" w:rsidP="007F6CF8">
      <w:pPr>
        <w:rPr>
          <w:rFonts w:cs="Arial"/>
          <w:b/>
          <w:sz w:val="23"/>
          <w:szCs w:val="23"/>
        </w:rPr>
      </w:pPr>
    </w:p>
    <w:p w14:paraId="7A6AD36B" w14:textId="46CBDFC5" w:rsidR="00FB08AE" w:rsidRDefault="00E53F58"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FF4B7" wp14:editId="15EAAF1A">
                <wp:simplePos x="0" y="0"/>
                <wp:positionH relativeFrom="column">
                  <wp:posOffset>4792345</wp:posOffset>
                </wp:positionH>
                <wp:positionV relativeFrom="paragraph">
                  <wp:posOffset>251460</wp:posOffset>
                </wp:positionV>
                <wp:extent cx="1398270" cy="5429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27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874D" w14:textId="63E81675" w:rsidR="007F69E6" w:rsidRPr="00E53F58" w:rsidRDefault="007F69E6" w:rsidP="007F69E6">
                            <w:pPr>
                              <w:jc w:val="right"/>
                              <w:rPr>
                                <w:rFonts w:cs="Arial"/>
                                <w:b/>
                                <w:sz w:val="52"/>
                                <w:szCs w:val="52"/>
                              </w:rPr>
                            </w:pPr>
                            <w:r w:rsidRPr="00607A14">
                              <w:rPr>
                                <w:rFonts w:cs="Arial"/>
                                <w:b/>
                                <w:sz w:val="52"/>
                                <w:szCs w:val="52"/>
                              </w:rPr>
                              <w:t>E-</w:t>
                            </w:r>
                            <w:r w:rsidR="009938A3" w:rsidRPr="00607A14">
                              <w:rPr>
                                <w:rFonts w:cs="Arial"/>
                                <w:b/>
                                <w:sz w:val="52"/>
                                <w:szCs w:val="52"/>
                              </w:rPr>
                              <w:t>2</w:t>
                            </w:r>
                            <w:r w:rsidR="00607A14" w:rsidRPr="00607A14">
                              <w:rPr>
                                <w:rFonts w:cs="Arial"/>
                                <w:b/>
                                <w:sz w:val="52"/>
                                <w:szCs w:val="5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FF4B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77.35pt;margin-top:19.8pt;width:110.1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" stroked="f">
                <v:textbox>
                  <w:txbxContent>
                    <w:p w14:paraId="1362874D" w14:textId="63E81675" w:rsidR="007F69E6" w:rsidRPr="00E53F58" w:rsidRDefault="007F69E6" w:rsidP="007F69E6">
                      <w:pPr>
                        <w:jc w:val="right"/>
                        <w:rPr>
                          <w:rFonts w:cs="Arial"/>
                          <w:b/>
                          <w:sz w:val="52"/>
                          <w:szCs w:val="52"/>
                        </w:rPr>
                      </w:pPr>
                      <w:r w:rsidRPr="00607A14">
                        <w:rPr>
                          <w:rFonts w:cs="Arial"/>
                          <w:b/>
                          <w:sz w:val="52"/>
                          <w:szCs w:val="52"/>
                        </w:rPr>
                        <w:t>E-</w:t>
                      </w:r>
                      <w:r w:rsidR="009938A3" w:rsidRPr="00607A14">
                        <w:rPr>
                          <w:rFonts w:cs="Arial"/>
                          <w:b/>
                          <w:sz w:val="52"/>
                          <w:szCs w:val="52"/>
                        </w:rPr>
                        <w:t>2</w:t>
                      </w:r>
                      <w:r w:rsidR="00607A14" w:rsidRPr="00607A14">
                        <w:rPr>
                          <w:rFonts w:cs="Arial"/>
                          <w:b/>
                          <w:sz w:val="52"/>
                          <w:szCs w:val="5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8C4FBE">
        <w:br w:type="page"/>
      </w:r>
    </w:p>
    <w:p w14:paraId="2C1FE015" w14:textId="7AAC07B4" w:rsidR="00FB08AE" w:rsidRDefault="0048174A">
      <w:r w:rsidRPr="0048174A">
        <w:rPr>
          <w:noProof/>
        </w:rPr>
        <w:lastRenderedPageBreak/>
        <w:drawing>
          <wp:inline distT="0" distB="0" distL="0" distR="0" wp14:anchorId="7969EDBB" wp14:editId="0CCD9B4F">
            <wp:extent cx="5943600" cy="4886325"/>
            <wp:effectExtent l="0" t="0" r="0" b="0"/>
            <wp:docPr id="10173996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DA538" w14:textId="77777777" w:rsidR="00FB08AE" w:rsidRDefault="00FB08AE"/>
    <w:p w14:paraId="4FD61818" w14:textId="77777777" w:rsidR="00FB08AE" w:rsidRDefault="00FB08AE"/>
    <w:p w14:paraId="0AC3E000" w14:textId="77777777" w:rsidR="00FB08AE" w:rsidRDefault="00FB08AE"/>
    <w:p w14:paraId="01CF3D1E" w14:textId="77777777" w:rsidR="00FB08AE" w:rsidRDefault="00FB08AE"/>
    <w:p w14:paraId="6B2D5311" w14:textId="77777777" w:rsidR="00FB08AE" w:rsidRDefault="00FB08AE"/>
    <w:p w14:paraId="45668894" w14:textId="77777777" w:rsidR="00FB08AE" w:rsidRDefault="00FB08AE"/>
    <w:p w14:paraId="51B0C067" w14:textId="77777777" w:rsidR="00FB08AE" w:rsidRDefault="00FB08AE"/>
    <w:p w14:paraId="09B40F67" w14:textId="77777777" w:rsidR="00FB08AE" w:rsidRDefault="00FB08AE"/>
    <w:p w14:paraId="5DD83B87" w14:textId="77777777" w:rsidR="00FB08AE" w:rsidRDefault="00FB08AE"/>
    <w:p w14:paraId="3A37BBF8" w14:textId="77777777" w:rsidR="00FB08AE" w:rsidRDefault="00FB08AE"/>
    <w:p w14:paraId="455A1221" w14:textId="77777777" w:rsidR="00FB08AE" w:rsidRDefault="00FB08AE"/>
    <w:p w14:paraId="77348743" w14:textId="77777777" w:rsidR="00FB08AE" w:rsidRDefault="00FB08AE"/>
    <w:p w14:paraId="7322527D" w14:textId="77777777" w:rsidR="00FB08AE" w:rsidRDefault="00FB08AE"/>
    <w:p w14:paraId="15C44B8A" w14:textId="77777777" w:rsidR="00FB08AE" w:rsidRDefault="00FB08AE"/>
    <w:p w14:paraId="667540CF" w14:textId="77777777" w:rsidR="00FB08AE" w:rsidRDefault="00FB08AE"/>
    <w:p w14:paraId="03C69C66" w14:textId="7ABF8B0A" w:rsidR="00417AEE" w:rsidRPr="007101E7" w:rsidRDefault="00417AEE" w:rsidP="007F6CF8">
      <w:pPr>
        <w:rPr>
          <w:noProof/>
        </w:rPr>
        <w:sectPr w:rsidR="00417AEE" w:rsidRPr="007101E7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01B8E06" w14:textId="5B762129" w:rsidR="00417AEE" w:rsidRPr="007F6CF8" w:rsidRDefault="00EE4089" w:rsidP="007F6CF8">
      <w:pPr>
        <w:rPr>
          <w:rFonts w:cs="Arial"/>
          <w:b/>
          <w:sz w:val="23"/>
          <w:szCs w:val="23"/>
        </w:rPr>
      </w:pPr>
      <w:r w:rsidRPr="00EE4089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598EA263" wp14:editId="58F17D0E">
            <wp:simplePos x="0" y="0"/>
            <wp:positionH relativeFrom="margin">
              <wp:posOffset>-100330</wp:posOffset>
            </wp:positionH>
            <wp:positionV relativeFrom="paragraph">
              <wp:posOffset>0</wp:posOffset>
            </wp:positionV>
            <wp:extent cx="9067800" cy="6036945"/>
            <wp:effectExtent l="0" t="0" r="0" b="0"/>
            <wp:wrapNone/>
            <wp:docPr id="13163513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8167" cy="6037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7AEE" w:rsidRPr="00C96FB1">
        <w:rPr>
          <w:rFonts w:cs="Arial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0496C1" wp14:editId="128CAB26">
                <wp:simplePos x="0" y="0"/>
                <wp:positionH relativeFrom="column">
                  <wp:posOffset>-437852</wp:posOffset>
                </wp:positionH>
                <wp:positionV relativeFrom="paragraph">
                  <wp:posOffset>2387330</wp:posOffset>
                </wp:positionV>
                <wp:extent cx="237426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BB893" w14:textId="094B1832" w:rsidR="00417AEE" w:rsidRPr="00C96FB1" w:rsidRDefault="00417AEE" w:rsidP="00417AEE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C96FB1">
                              <w:rPr>
                                <w:rFonts w:cs="Arial"/>
                              </w:rPr>
                              <w:t xml:space="preserve">Page </w:t>
                            </w:r>
                            <w:r w:rsidR="007101E7">
                              <w:rPr>
                                <w:rFonts w:cs="Arial"/>
                              </w:rPr>
                              <w:t>3</w:t>
                            </w:r>
                            <w:r w:rsidRPr="00C96FB1">
                              <w:rPr>
                                <w:rFonts w:cs="Arial"/>
                              </w:rPr>
                              <w:t xml:space="preserve"> of </w:t>
                            </w:r>
                            <w:r w:rsidR="007101E7">
                              <w:rPr>
                                <w:rFonts w:cs="Arial"/>
                              </w:rPr>
                              <w:t>3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0496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34.5pt;margin-top:188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" filled="f" stroked="f">
                <v:textbox style="layout-flow:vertical;mso-fit-shape-to-text:t">
                  <w:txbxContent>
                    <w:p w14:paraId="23CBB893" w14:textId="094B1832" w:rsidR="00417AEE" w:rsidRPr="00C96FB1" w:rsidRDefault="00417AEE" w:rsidP="00417AEE">
                      <w:pPr>
                        <w:jc w:val="center"/>
                        <w:rPr>
                          <w:rFonts w:cs="Arial"/>
                        </w:rPr>
                      </w:pPr>
                      <w:r w:rsidRPr="00C96FB1">
                        <w:rPr>
                          <w:rFonts w:cs="Arial"/>
                        </w:rPr>
                        <w:t xml:space="preserve">Page </w:t>
                      </w:r>
                      <w:r w:rsidR="007101E7">
                        <w:rPr>
                          <w:rFonts w:cs="Arial"/>
                        </w:rPr>
                        <w:t>3</w:t>
                      </w:r>
                      <w:r w:rsidRPr="00C96FB1">
                        <w:rPr>
                          <w:rFonts w:cs="Arial"/>
                        </w:rPr>
                        <w:t xml:space="preserve"> of </w:t>
                      </w:r>
                      <w:r w:rsidR="007101E7">
                        <w:rPr>
                          <w:rFonts w:cs="Arial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17AEE" w:rsidRPr="007F6CF8" w:rsidSect="00417AEE">
      <w:footerReference w:type="default" r:id="rId11"/>
      <w:pgSz w:w="15840" w:h="12240" w:orient="landscape"/>
      <w:pgMar w:top="1440" w:right="1440" w:bottom="1440" w:left="100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B277B" w14:textId="77777777" w:rsidR="00BB014E" w:rsidRDefault="00BB014E">
      <w:r>
        <w:separator/>
      </w:r>
    </w:p>
  </w:endnote>
  <w:endnote w:type="continuationSeparator" w:id="0">
    <w:p w14:paraId="0408CC65" w14:textId="77777777" w:rsidR="00BB014E" w:rsidRDefault="00BB0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</w:rPr>
      <w:id w:val="1969557232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9A87A26" w14:textId="0CF63422" w:rsidR="00417AEE" w:rsidRPr="00FB08AE" w:rsidRDefault="00417AEE" w:rsidP="00FB08AE">
            <w:pPr>
              <w:pStyle w:val="Footer"/>
              <w:jc w:val="center"/>
              <w:rPr>
                <w:rFonts w:cs="Arial"/>
                <w:bCs/>
                <w:szCs w:val="24"/>
              </w:rPr>
            </w:pPr>
            <w:r w:rsidRPr="004A5FF1">
              <w:rPr>
                <w:rFonts w:cs="Arial"/>
              </w:rPr>
              <w:t xml:space="preserve">Page </w:t>
            </w:r>
            <w:r w:rsidRPr="004A5FF1">
              <w:rPr>
                <w:rFonts w:cs="Arial"/>
                <w:bCs/>
                <w:szCs w:val="24"/>
              </w:rPr>
              <w:fldChar w:fldCharType="begin"/>
            </w:r>
            <w:r w:rsidRPr="004A5FF1">
              <w:rPr>
                <w:rFonts w:cs="Arial"/>
                <w:bCs/>
              </w:rPr>
              <w:instrText xml:space="preserve"> PAGE </w:instrText>
            </w:r>
            <w:r w:rsidRPr="004A5FF1">
              <w:rPr>
                <w:rFonts w:cs="Arial"/>
                <w:bCs/>
                <w:szCs w:val="24"/>
              </w:rPr>
              <w:fldChar w:fldCharType="separate"/>
            </w:r>
            <w:r>
              <w:rPr>
                <w:rFonts w:cs="Arial"/>
                <w:bCs/>
                <w:noProof/>
              </w:rPr>
              <w:t>3</w:t>
            </w:r>
            <w:r w:rsidRPr="004A5FF1">
              <w:rPr>
                <w:rFonts w:cs="Arial"/>
                <w:bCs/>
                <w:szCs w:val="24"/>
              </w:rPr>
              <w:fldChar w:fldCharType="end"/>
            </w:r>
            <w:r w:rsidRPr="004A5FF1">
              <w:rPr>
                <w:rFonts w:cs="Arial"/>
              </w:rPr>
              <w:t xml:space="preserve"> of </w:t>
            </w:r>
            <w:r w:rsidR="007101E7">
              <w:rPr>
                <w:rFonts w:cs="Arial"/>
                <w:bCs/>
                <w:szCs w:val="24"/>
              </w:rPr>
              <w:t>3</w:t>
            </w:r>
          </w:p>
        </w:sdtContent>
      </w:sdt>
    </w:sdtContent>
  </w:sdt>
  <w:p w14:paraId="6F62BB19" w14:textId="77777777" w:rsidR="00417AEE" w:rsidRDefault="00417A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</w:rPr>
      <w:id w:val="102004751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</w:rPr>
          <w:id w:val="967549929"/>
          <w:docPartObj>
            <w:docPartGallery w:val="Page Numbers (Top of Page)"/>
            <w:docPartUnique/>
          </w:docPartObj>
        </w:sdtPr>
        <w:sdtEndPr/>
        <w:sdtContent>
          <w:p w14:paraId="41FFD8E4" w14:textId="51C12294" w:rsidR="00F370A0" w:rsidRPr="004A5FF1" w:rsidRDefault="00313F4D">
            <w:pPr>
              <w:pStyle w:val="Footer"/>
              <w:jc w:val="center"/>
              <w:rPr>
                <w:rFonts w:cs="Arial"/>
              </w:rPr>
            </w:pPr>
          </w:p>
        </w:sdtContent>
      </w:sdt>
    </w:sdtContent>
  </w:sdt>
  <w:p w14:paraId="0F3079E6" w14:textId="77777777" w:rsidR="00F370A0" w:rsidRDefault="00F370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B2D09" w14:textId="77777777" w:rsidR="00BB014E" w:rsidRDefault="00BB014E">
      <w:r>
        <w:separator/>
      </w:r>
    </w:p>
  </w:footnote>
  <w:footnote w:type="continuationSeparator" w:id="0">
    <w:p w14:paraId="4105FF01" w14:textId="77777777" w:rsidR="00BB014E" w:rsidRDefault="00BB0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lowerLetter"/>
      <w:pStyle w:val="Level1"/>
      <w:lvlText w:val="%1."/>
      <w:lvlJc w:val="left"/>
      <w:pPr>
        <w:tabs>
          <w:tab w:val="num" w:pos="2880"/>
        </w:tabs>
        <w:ind w:left="2880" w:hanging="720"/>
      </w:pPr>
      <w:rPr>
        <w:rFonts w:ascii="Arial" w:hAnsi="Arial"/>
        <w:sz w:val="24"/>
      </w:rPr>
    </w:lvl>
    <w:lvl w:ilvl="1">
      <w:start w:val="1"/>
      <w:numFmt w:val="lowerLetter"/>
      <w:lvlText w:val="%2"/>
      <w:lvlJc w:val="left"/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7A798E"/>
    <w:multiLevelType w:val="hybridMultilevel"/>
    <w:tmpl w:val="7C7C0824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1272929329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102720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24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E10"/>
    <w:rsid w:val="000070DD"/>
    <w:rsid w:val="00014339"/>
    <w:rsid w:val="00020CF4"/>
    <w:rsid w:val="0002296E"/>
    <w:rsid w:val="0003638C"/>
    <w:rsid w:val="00037A02"/>
    <w:rsid w:val="000532BD"/>
    <w:rsid w:val="00063EE7"/>
    <w:rsid w:val="00065F69"/>
    <w:rsid w:val="00070690"/>
    <w:rsid w:val="00071C65"/>
    <w:rsid w:val="000A56E9"/>
    <w:rsid w:val="000D4F06"/>
    <w:rsid w:val="000E3012"/>
    <w:rsid w:val="000E4807"/>
    <w:rsid w:val="000E6B8C"/>
    <w:rsid w:val="001069A0"/>
    <w:rsid w:val="00115305"/>
    <w:rsid w:val="00121E49"/>
    <w:rsid w:val="00124244"/>
    <w:rsid w:val="00126AFE"/>
    <w:rsid w:val="0013406D"/>
    <w:rsid w:val="001373F9"/>
    <w:rsid w:val="00141AF4"/>
    <w:rsid w:val="00171F27"/>
    <w:rsid w:val="001817EC"/>
    <w:rsid w:val="00186F0A"/>
    <w:rsid w:val="001967C1"/>
    <w:rsid w:val="001C0BAE"/>
    <w:rsid w:val="001C4C67"/>
    <w:rsid w:val="00201C60"/>
    <w:rsid w:val="00222444"/>
    <w:rsid w:val="002300A7"/>
    <w:rsid w:val="002428FB"/>
    <w:rsid w:val="0024476E"/>
    <w:rsid w:val="002745F6"/>
    <w:rsid w:val="00292F5A"/>
    <w:rsid w:val="002C4A32"/>
    <w:rsid w:val="002C4C94"/>
    <w:rsid w:val="002C6704"/>
    <w:rsid w:val="002D139D"/>
    <w:rsid w:val="002D6A24"/>
    <w:rsid w:val="002E3B8D"/>
    <w:rsid w:val="002E64E7"/>
    <w:rsid w:val="00302AF0"/>
    <w:rsid w:val="00305D9A"/>
    <w:rsid w:val="00313F4D"/>
    <w:rsid w:val="00321E7E"/>
    <w:rsid w:val="00322AC5"/>
    <w:rsid w:val="00342E37"/>
    <w:rsid w:val="00354919"/>
    <w:rsid w:val="00355E77"/>
    <w:rsid w:val="00363C07"/>
    <w:rsid w:val="00392F17"/>
    <w:rsid w:val="003A3D75"/>
    <w:rsid w:val="003C51C9"/>
    <w:rsid w:val="003C64AE"/>
    <w:rsid w:val="003C775A"/>
    <w:rsid w:val="003E5EE3"/>
    <w:rsid w:val="004106FA"/>
    <w:rsid w:val="00412592"/>
    <w:rsid w:val="00417AEE"/>
    <w:rsid w:val="00442C8A"/>
    <w:rsid w:val="00455ED4"/>
    <w:rsid w:val="0048174A"/>
    <w:rsid w:val="00492D0F"/>
    <w:rsid w:val="0049456B"/>
    <w:rsid w:val="00495C88"/>
    <w:rsid w:val="004A3F64"/>
    <w:rsid w:val="004A7CE0"/>
    <w:rsid w:val="004E6928"/>
    <w:rsid w:val="004F1501"/>
    <w:rsid w:val="004F445A"/>
    <w:rsid w:val="004F6AAA"/>
    <w:rsid w:val="00503398"/>
    <w:rsid w:val="00531BDC"/>
    <w:rsid w:val="00540A69"/>
    <w:rsid w:val="00554C97"/>
    <w:rsid w:val="00563865"/>
    <w:rsid w:val="00567798"/>
    <w:rsid w:val="00573EA2"/>
    <w:rsid w:val="00581F10"/>
    <w:rsid w:val="005A6FF0"/>
    <w:rsid w:val="005B0ABF"/>
    <w:rsid w:val="005B6FCA"/>
    <w:rsid w:val="005C0064"/>
    <w:rsid w:val="005D334D"/>
    <w:rsid w:val="0060240F"/>
    <w:rsid w:val="00602CCC"/>
    <w:rsid w:val="00607A14"/>
    <w:rsid w:val="006104C6"/>
    <w:rsid w:val="00614013"/>
    <w:rsid w:val="00620426"/>
    <w:rsid w:val="00621FC4"/>
    <w:rsid w:val="00626BF7"/>
    <w:rsid w:val="00650F43"/>
    <w:rsid w:val="006532F6"/>
    <w:rsid w:val="00655156"/>
    <w:rsid w:val="00667D58"/>
    <w:rsid w:val="00694252"/>
    <w:rsid w:val="006A0E10"/>
    <w:rsid w:val="006B6FFD"/>
    <w:rsid w:val="006E1A03"/>
    <w:rsid w:val="006E7A99"/>
    <w:rsid w:val="006F0CBC"/>
    <w:rsid w:val="006F31F9"/>
    <w:rsid w:val="0070414E"/>
    <w:rsid w:val="0070430D"/>
    <w:rsid w:val="00704764"/>
    <w:rsid w:val="007101E7"/>
    <w:rsid w:val="00710F7A"/>
    <w:rsid w:val="007133B1"/>
    <w:rsid w:val="007167EB"/>
    <w:rsid w:val="007309B6"/>
    <w:rsid w:val="0074762A"/>
    <w:rsid w:val="00752243"/>
    <w:rsid w:val="007725EB"/>
    <w:rsid w:val="00775329"/>
    <w:rsid w:val="00780FA1"/>
    <w:rsid w:val="00781CCB"/>
    <w:rsid w:val="007978CB"/>
    <w:rsid w:val="007A419B"/>
    <w:rsid w:val="007B0503"/>
    <w:rsid w:val="007C0AC1"/>
    <w:rsid w:val="007C55F8"/>
    <w:rsid w:val="007D79F3"/>
    <w:rsid w:val="007E3AF5"/>
    <w:rsid w:val="007E4D05"/>
    <w:rsid w:val="007E655E"/>
    <w:rsid w:val="007F1534"/>
    <w:rsid w:val="007F69E6"/>
    <w:rsid w:val="007F6CF8"/>
    <w:rsid w:val="008267D0"/>
    <w:rsid w:val="008352AC"/>
    <w:rsid w:val="0083715D"/>
    <w:rsid w:val="00842736"/>
    <w:rsid w:val="00843C42"/>
    <w:rsid w:val="00875DD3"/>
    <w:rsid w:val="00882A4A"/>
    <w:rsid w:val="00883E31"/>
    <w:rsid w:val="008A356B"/>
    <w:rsid w:val="008B1EDB"/>
    <w:rsid w:val="008B7292"/>
    <w:rsid w:val="008C467D"/>
    <w:rsid w:val="008C4FBE"/>
    <w:rsid w:val="008C7CE5"/>
    <w:rsid w:val="008D7323"/>
    <w:rsid w:val="008E2586"/>
    <w:rsid w:val="008F3BB1"/>
    <w:rsid w:val="008F657B"/>
    <w:rsid w:val="009248C7"/>
    <w:rsid w:val="009308FC"/>
    <w:rsid w:val="00933B21"/>
    <w:rsid w:val="00942C3A"/>
    <w:rsid w:val="009732E5"/>
    <w:rsid w:val="00984B6E"/>
    <w:rsid w:val="009938A3"/>
    <w:rsid w:val="009A28FE"/>
    <w:rsid w:val="009C0349"/>
    <w:rsid w:val="009D2658"/>
    <w:rsid w:val="009F5234"/>
    <w:rsid w:val="00A22570"/>
    <w:rsid w:val="00A36918"/>
    <w:rsid w:val="00A44CB0"/>
    <w:rsid w:val="00A61E6D"/>
    <w:rsid w:val="00A77C17"/>
    <w:rsid w:val="00A80BFD"/>
    <w:rsid w:val="00A8130B"/>
    <w:rsid w:val="00A8391C"/>
    <w:rsid w:val="00A94354"/>
    <w:rsid w:val="00AA3346"/>
    <w:rsid w:val="00AB2E1C"/>
    <w:rsid w:val="00AB4A1E"/>
    <w:rsid w:val="00AC258A"/>
    <w:rsid w:val="00AC6670"/>
    <w:rsid w:val="00AE0004"/>
    <w:rsid w:val="00AE149C"/>
    <w:rsid w:val="00AF0DC5"/>
    <w:rsid w:val="00B14893"/>
    <w:rsid w:val="00B72217"/>
    <w:rsid w:val="00B72F33"/>
    <w:rsid w:val="00B80277"/>
    <w:rsid w:val="00BA0B62"/>
    <w:rsid w:val="00BB014E"/>
    <w:rsid w:val="00BB18A2"/>
    <w:rsid w:val="00BD49FB"/>
    <w:rsid w:val="00BE183B"/>
    <w:rsid w:val="00BE4FEA"/>
    <w:rsid w:val="00BF1EE3"/>
    <w:rsid w:val="00BF5144"/>
    <w:rsid w:val="00BF7FBF"/>
    <w:rsid w:val="00C05705"/>
    <w:rsid w:val="00C07102"/>
    <w:rsid w:val="00C230D7"/>
    <w:rsid w:val="00C33443"/>
    <w:rsid w:val="00C41F8A"/>
    <w:rsid w:val="00C90D41"/>
    <w:rsid w:val="00C91C95"/>
    <w:rsid w:val="00CA3484"/>
    <w:rsid w:val="00CA3FDB"/>
    <w:rsid w:val="00CC024C"/>
    <w:rsid w:val="00CD0C81"/>
    <w:rsid w:val="00CF734D"/>
    <w:rsid w:val="00D02C64"/>
    <w:rsid w:val="00D11D52"/>
    <w:rsid w:val="00D12A12"/>
    <w:rsid w:val="00D25FA5"/>
    <w:rsid w:val="00D42843"/>
    <w:rsid w:val="00D55E60"/>
    <w:rsid w:val="00D62D82"/>
    <w:rsid w:val="00D76CD2"/>
    <w:rsid w:val="00D82DC6"/>
    <w:rsid w:val="00D90BBE"/>
    <w:rsid w:val="00D9749A"/>
    <w:rsid w:val="00DB542A"/>
    <w:rsid w:val="00DC2B47"/>
    <w:rsid w:val="00DC3931"/>
    <w:rsid w:val="00DC3F6A"/>
    <w:rsid w:val="00E03991"/>
    <w:rsid w:val="00E0515D"/>
    <w:rsid w:val="00E100EC"/>
    <w:rsid w:val="00E233ED"/>
    <w:rsid w:val="00E2414C"/>
    <w:rsid w:val="00E4269A"/>
    <w:rsid w:val="00E53F58"/>
    <w:rsid w:val="00E61B2E"/>
    <w:rsid w:val="00E650E1"/>
    <w:rsid w:val="00E6625D"/>
    <w:rsid w:val="00E75D67"/>
    <w:rsid w:val="00E83937"/>
    <w:rsid w:val="00E923EE"/>
    <w:rsid w:val="00E97453"/>
    <w:rsid w:val="00E97E60"/>
    <w:rsid w:val="00EB50E3"/>
    <w:rsid w:val="00EC3829"/>
    <w:rsid w:val="00EC4C25"/>
    <w:rsid w:val="00EC6C08"/>
    <w:rsid w:val="00ED7FFD"/>
    <w:rsid w:val="00EE0F4A"/>
    <w:rsid w:val="00EE4089"/>
    <w:rsid w:val="00EF0989"/>
    <w:rsid w:val="00F0325B"/>
    <w:rsid w:val="00F1448F"/>
    <w:rsid w:val="00F17921"/>
    <w:rsid w:val="00F23282"/>
    <w:rsid w:val="00F253FE"/>
    <w:rsid w:val="00F31D8D"/>
    <w:rsid w:val="00F370A0"/>
    <w:rsid w:val="00F40AE0"/>
    <w:rsid w:val="00F51CB1"/>
    <w:rsid w:val="00F55929"/>
    <w:rsid w:val="00F63F49"/>
    <w:rsid w:val="00F77F9D"/>
    <w:rsid w:val="00F810D9"/>
    <w:rsid w:val="00F82D36"/>
    <w:rsid w:val="00F843BC"/>
    <w:rsid w:val="00F943C8"/>
    <w:rsid w:val="00F9576C"/>
    <w:rsid w:val="00FA3D26"/>
    <w:rsid w:val="00FB08AE"/>
    <w:rsid w:val="00FD67C4"/>
    <w:rsid w:val="00FE22C4"/>
    <w:rsid w:val="00FF000B"/>
    <w:rsid w:val="00FF10C4"/>
    <w:rsid w:val="00FF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5223D9D"/>
  <w15:chartTrackingRefBased/>
  <w15:docId w15:val="{68D4B431-5DE7-4024-B9DE-1B1C087D6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710"/>
      </w:tabs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1710"/>
      </w:tabs>
      <w:jc w:val="right"/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440" w:hanging="1440"/>
    </w:pPr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E83937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9248C7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9248C7"/>
    <w:rPr>
      <w:rFonts w:ascii="Arial" w:hAnsi="Arial"/>
      <w:sz w:val="24"/>
    </w:rPr>
  </w:style>
  <w:style w:type="paragraph" w:customStyle="1" w:styleId="Level1">
    <w:name w:val="Level 1"/>
    <w:basedOn w:val="Normal"/>
    <w:rsid w:val="00F17921"/>
    <w:pPr>
      <w:widowControl w:val="0"/>
      <w:numPr>
        <w:numId w:val="1"/>
      </w:numPr>
      <w:ind w:left="2880" w:hanging="720"/>
      <w:outlineLvl w:val="0"/>
    </w:pPr>
    <w:rPr>
      <w:rFonts w:ascii="Times New Roman" w:hAnsi="Times New Roman"/>
      <w:snapToGrid w:val="0"/>
    </w:rPr>
  </w:style>
  <w:style w:type="paragraph" w:styleId="ListParagraph">
    <w:name w:val="List Paragraph"/>
    <w:basedOn w:val="Normal"/>
    <w:uiPriority w:val="34"/>
    <w:qFormat/>
    <w:rsid w:val="00F1792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417AE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0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673CE-D7E0-47D3-AD0C-A0A10D470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158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Superintendent of Schools</vt:lpstr>
    </vt:vector>
  </TitlesOfParts>
  <Company>MDCPS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Superintendent of Schools</dc:title>
  <dc:subject/>
  <dc:creator>Richard Hinds</dc:creator>
  <cp:keywords/>
  <dc:description/>
  <cp:lastModifiedBy>Williams, Carla C.</cp:lastModifiedBy>
  <cp:revision>9</cp:revision>
  <cp:lastPrinted>2025-08-21T15:25:00Z</cp:lastPrinted>
  <dcterms:created xsi:type="dcterms:W3CDTF">2025-08-20T13:39:00Z</dcterms:created>
  <dcterms:modified xsi:type="dcterms:W3CDTF">2025-08-27T18:13:00Z</dcterms:modified>
</cp:coreProperties>
</file>